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0C1" w:rsidRPr="00CB27DF" w:rsidRDefault="009C5491" w:rsidP="009F1EEC">
      <w:pPr>
        <w:spacing w:after="93" w:line="259" w:lineRule="auto"/>
        <w:ind w:left="-4" w:right="4985" w:hanging="10"/>
        <w:jc w:val="left"/>
        <w:rPr>
          <w:rFonts w:ascii="Adobe Hebrew" w:hAnsi="Adobe Hebrew"/>
          <w:szCs w:val="24"/>
          <w:rtl/>
        </w:rPr>
      </w:pPr>
      <w:r w:rsidRPr="00CB27DF">
        <w:rPr>
          <w:rFonts w:ascii="Adobe Hebrew" w:eastAsia="Times New Roman" w:hAnsi="Adobe Hebrew"/>
          <w:szCs w:val="24"/>
          <w:u w:val="single" w:color="000000"/>
          <w:rtl/>
        </w:rPr>
        <w:t xml:space="preserve">עקרונות התכנון </w:t>
      </w:r>
    </w:p>
    <w:p w:rsidR="008720C1" w:rsidRPr="008720C1" w:rsidRDefault="008720C1" w:rsidP="008720C1">
      <w:pPr>
        <w:spacing w:after="0" w:line="240" w:lineRule="auto"/>
        <w:ind w:left="0" w:firstLine="0"/>
        <w:jc w:val="left"/>
        <w:rPr>
          <w:rFonts w:ascii="Adobe Hebrew" w:eastAsia="Times New Roman" w:hAnsi="Adobe Hebrew"/>
          <w:color w:val="auto"/>
          <w:szCs w:val="24"/>
          <w:rtl/>
        </w:rPr>
      </w:pPr>
      <w:r w:rsidRPr="008720C1">
        <w:rPr>
          <w:rFonts w:ascii="Adobe Hebrew" w:eastAsia="Times New Roman" w:hAnsi="Adobe Hebrew"/>
          <w:szCs w:val="24"/>
          <w:rtl/>
        </w:rPr>
        <w:t xml:space="preserve">השוק העירוני </w:t>
      </w:r>
      <w:proofErr w:type="spellStart"/>
      <w:r w:rsidRPr="008720C1">
        <w:rPr>
          <w:rFonts w:ascii="Adobe Hebrew" w:eastAsia="Times New Roman" w:hAnsi="Adobe Hebrew"/>
          <w:szCs w:val="24"/>
          <w:rtl/>
        </w:rPr>
        <w:t>קרית</w:t>
      </w:r>
      <w:proofErr w:type="spellEnd"/>
      <w:r w:rsidRPr="008720C1">
        <w:rPr>
          <w:rFonts w:ascii="Adobe Hebrew" w:eastAsia="Times New Roman" w:hAnsi="Adobe Hebrew"/>
          <w:szCs w:val="24"/>
          <w:rtl/>
        </w:rPr>
        <w:t xml:space="preserve"> שמונה ממוקם על הרחוב הראשי שדרות תל חי, כביש 90, החוצה את העיר מצפון לדרום ומהווה את עמוד השדרה של העיר. מצידה המערבי של העיר נשקף רכס הרי נפתלי הבולטים בנוף העירוני.</w:t>
      </w:r>
    </w:p>
    <w:p w:rsidR="008720C1" w:rsidRPr="00CB27DF" w:rsidRDefault="008720C1" w:rsidP="008720C1">
      <w:pPr>
        <w:spacing w:after="0" w:line="240" w:lineRule="auto"/>
        <w:ind w:left="0" w:firstLine="0"/>
        <w:jc w:val="left"/>
        <w:rPr>
          <w:rFonts w:ascii="Adobe Hebrew" w:eastAsia="Times New Roman" w:hAnsi="Adobe Hebrew"/>
          <w:color w:val="auto"/>
          <w:szCs w:val="24"/>
          <w:rtl/>
        </w:rPr>
      </w:pPr>
      <w:r w:rsidRPr="008720C1">
        <w:rPr>
          <w:rFonts w:ascii="Adobe Hebrew" w:eastAsia="Times New Roman" w:hAnsi="Adobe Hebrew"/>
          <w:szCs w:val="24"/>
          <w:rtl/>
        </w:rPr>
        <w:t>מצידו המזרחי של שדרות תל חי מתחבר רחוב הירדן המחבר את רחוב תל חי עם פארק הזהב והשטחים הירוקים הנכנסים אל תוך העיר. שטחים ירוקים אלה תוחמים את העיר ביניהם.</w:t>
      </w:r>
    </w:p>
    <w:p w:rsidR="008720C1" w:rsidRPr="00CB27DF" w:rsidRDefault="008720C1" w:rsidP="008720C1">
      <w:pPr>
        <w:spacing w:after="0" w:line="240" w:lineRule="auto"/>
        <w:ind w:left="0" w:firstLine="0"/>
        <w:jc w:val="left"/>
        <w:rPr>
          <w:rFonts w:ascii="Adobe Hebrew" w:eastAsia="Times New Roman" w:hAnsi="Adobe Hebrew"/>
          <w:color w:val="auto"/>
          <w:szCs w:val="24"/>
          <w:rtl/>
        </w:rPr>
      </w:pPr>
    </w:p>
    <w:p w:rsidR="008720C1" w:rsidRPr="008720C1" w:rsidRDefault="00CB27DF" w:rsidP="00CB27DF">
      <w:pPr>
        <w:spacing w:after="0" w:line="240" w:lineRule="auto"/>
        <w:ind w:left="0" w:firstLine="0"/>
        <w:jc w:val="left"/>
        <w:rPr>
          <w:rFonts w:ascii="Adobe Hebrew" w:eastAsia="Times New Roman" w:hAnsi="Adobe Hebrew"/>
          <w:color w:val="auto"/>
          <w:szCs w:val="24"/>
        </w:rPr>
      </w:pPr>
      <w:r w:rsidRPr="00CB27DF">
        <w:rPr>
          <w:rFonts w:ascii="Adobe Hebrew" w:eastAsia="Times New Roman" w:hAnsi="Adobe Hebrew" w:hint="cs"/>
          <w:b/>
          <w:bCs/>
          <w:color w:val="auto"/>
          <w:szCs w:val="24"/>
          <w:rtl/>
        </w:rPr>
        <w:t>השראה ל</w:t>
      </w:r>
      <w:r w:rsidRPr="00CB27DF">
        <w:rPr>
          <w:rFonts w:ascii="Adobe Hebrew" w:eastAsia="Times New Roman" w:hAnsi="Adobe Hebrew"/>
          <w:b/>
          <w:bCs/>
          <w:color w:val="auto"/>
          <w:szCs w:val="24"/>
          <w:rtl/>
        </w:rPr>
        <w:t xml:space="preserve">צורת </w:t>
      </w:r>
      <w:r w:rsidR="008720C1" w:rsidRPr="00CB27DF">
        <w:rPr>
          <w:rFonts w:ascii="Adobe Hebrew" w:eastAsia="Times New Roman" w:hAnsi="Adobe Hebrew"/>
          <w:b/>
          <w:bCs/>
          <w:color w:val="auto"/>
          <w:szCs w:val="24"/>
          <w:rtl/>
        </w:rPr>
        <w:t xml:space="preserve">מבנה </w:t>
      </w:r>
      <w:r w:rsidRPr="00CB27DF">
        <w:rPr>
          <w:rFonts w:ascii="Adobe Hebrew" w:eastAsia="Times New Roman" w:hAnsi="Adobe Hebrew" w:hint="cs"/>
          <w:b/>
          <w:bCs/>
          <w:color w:val="auto"/>
          <w:szCs w:val="24"/>
          <w:rtl/>
        </w:rPr>
        <w:t>השוק</w:t>
      </w:r>
      <w:r w:rsidRPr="00CB27DF">
        <w:rPr>
          <w:rFonts w:ascii="Adobe Hebrew" w:eastAsia="Times New Roman" w:hAnsi="Adobe Hebrew" w:hint="cs"/>
          <w:color w:val="auto"/>
          <w:szCs w:val="24"/>
          <w:rtl/>
        </w:rPr>
        <w:t xml:space="preserve"> </w:t>
      </w:r>
      <w:r w:rsidR="008720C1" w:rsidRPr="00CB27DF">
        <w:rPr>
          <w:rFonts w:ascii="Adobe Hebrew" w:eastAsia="Times New Roman" w:hAnsi="Adobe Hebrew"/>
          <w:color w:val="auto"/>
          <w:szCs w:val="24"/>
          <w:rtl/>
        </w:rPr>
        <w:t>- ההרים הבולטים הגובלים עם העיר</w:t>
      </w:r>
      <w:r w:rsidRPr="00CB27DF">
        <w:rPr>
          <w:rFonts w:ascii="Adobe Hebrew" w:eastAsia="Times New Roman" w:hAnsi="Adobe Hebrew" w:hint="cs"/>
          <w:color w:val="auto"/>
          <w:szCs w:val="24"/>
          <w:rtl/>
        </w:rPr>
        <w:t>.</w:t>
      </w:r>
    </w:p>
    <w:p w:rsidR="008720C1" w:rsidRPr="00CB27DF" w:rsidRDefault="008720C1" w:rsidP="008720C1">
      <w:pPr>
        <w:spacing w:after="0" w:line="240" w:lineRule="auto"/>
        <w:ind w:left="0" w:firstLine="0"/>
        <w:jc w:val="left"/>
        <w:rPr>
          <w:rFonts w:ascii="Adobe Hebrew" w:eastAsia="Times New Roman" w:hAnsi="Adobe Hebrew"/>
          <w:color w:val="auto"/>
          <w:szCs w:val="24"/>
          <w:rtl/>
        </w:rPr>
      </w:pPr>
    </w:p>
    <w:p w:rsidR="008720C1" w:rsidRPr="008720C1" w:rsidRDefault="008720C1" w:rsidP="008720C1">
      <w:pPr>
        <w:spacing w:after="0" w:line="240" w:lineRule="auto"/>
        <w:ind w:left="0" w:firstLine="0"/>
        <w:jc w:val="left"/>
        <w:rPr>
          <w:rFonts w:ascii="Adobe Hebrew" w:eastAsia="Times New Roman" w:hAnsi="Adobe Hebrew"/>
          <w:color w:val="auto"/>
          <w:szCs w:val="24"/>
        </w:rPr>
      </w:pPr>
      <w:r w:rsidRPr="008720C1">
        <w:rPr>
          <w:rFonts w:ascii="Adobe Hebrew" w:eastAsia="Times New Roman" w:hAnsi="Adobe Hebrew"/>
          <w:b/>
          <w:bCs/>
          <w:szCs w:val="24"/>
          <w:rtl/>
        </w:rPr>
        <w:t>נוף</w:t>
      </w:r>
      <w:r w:rsidRPr="008720C1">
        <w:rPr>
          <w:rFonts w:ascii="Adobe Hebrew" w:eastAsia="Times New Roman" w:hAnsi="Adobe Hebrew"/>
          <w:szCs w:val="24"/>
          <w:rtl/>
        </w:rPr>
        <w:t xml:space="preserve"> - שילוב השוק בנוף הסבי</w:t>
      </w:r>
      <w:r w:rsidR="00892D7D">
        <w:rPr>
          <w:rFonts w:ascii="Adobe Hebrew" w:eastAsia="Times New Roman" w:hAnsi="Adobe Hebrew"/>
          <w:szCs w:val="24"/>
          <w:rtl/>
        </w:rPr>
        <w:t xml:space="preserve">בתי של קריית שמונה והתחברות אל </w:t>
      </w:r>
      <w:r w:rsidRPr="008720C1">
        <w:rPr>
          <w:rFonts w:ascii="Adobe Hebrew" w:eastAsia="Times New Roman" w:hAnsi="Adobe Hebrew"/>
          <w:szCs w:val="24"/>
          <w:rtl/>
        </w:rPr>
        <w:t xml:space="preserve">רצף הרצועות </w:t>
      </w:r>
      <w:r w:rsidR="00892D7D">
        <w:rPr>
          <w:rFonts w:ascii="Adobe Hebrew" w:eastAsia="Times New Roman" w:hAnsi="Adobe Hebrew" w:hint="cs"/>
          <w:szCs w:val="24"/>
          <w:rtl/>
        </w:rPr>
        <w:t>ה</w:t>
      </w:r>
      <w:r w:rsidRPr="008720C1">
        <w:rPr>
          <w:rFonts w:ascii="Adobe Hebrew" w:eastAsia="Times New Roman" w:hAnsi="Adobe Hebrew"/>
          <w:szCs w:val="24"/>
          <w:rtl/>
        </w:rPr>
        <w:t>ירוקות של העיר והסביבה הבנויה. השוק העירוני מתפקד כפארק עירוני באמצעות גג ירוק המזמין את הציבור לעלות אליו. המבנה בד בבד משמש פונקציות עיקריות של מסחר, תעסוקה ומבנה ציבור, וכן מתפקד כמרחב אורבני. </w:t>
      </w:r>
    </w:p>
    <w:p w:rsidR="008720C1" w:rsidRPr="008720C1" w:rsidRDefault="008720C1" w:rsidP="008720C1">
      <w:pPr>
        <w:bidi w:val="0"/>
        <w:spacing w:after="0" w:line="240" w:lineRule="auto"/>
        <w:ind w:left="0" w:firstLine="0"/>
        <w:jc w:val="left"/>
        <w:rPr>
          <w:rFonts w:ascii="Adobe Hebrew" w:eastAsia="Times New Roman" w:hAnsi="Adobe Hebrew"/>
          <w:color w:val="auto"/>
          <w:szCs w:val="24"/>
          <w:rtl/>
        </w:rPr>
      </w:pPr>
    </w:p>
    <w:p w:rsidR="008720C1" w:rsidRPr="008720C1" w:rsidRDefault="00892D7D" w:rsidP="008720C1">
      <w:pPr>
        <w:spacing w:after="0" w:line="240" w:lineRule="auto"/>
        <w:ind w:left="0" w:firstLine="0"/>
        <w:jc w:val="left"/>
        <w:rPr>
          <w:rFonts w:ascii="Adobe Hebrew" w:eastAsia="Times New Roman" w:hAnsi="Adobe Hebrew"/>
          <w:color w:val="auto"/>
          <w:szCs w:val="24"/>
        </w:rPr>
      </w:pPr>
      <w:r>
        <w:rPr>
          <w:rFonts w:ascii="Adobe Hebrew" w:eastAsia="Times New Roman" w:hAnsi="Adobe Hebrew" w:hint="cs"/>
          <w:b/>
          <w:bCs/>
          <w:szCs w:val="24"/>
          <w:rtl/>
        </w:rPr>
        <w:t>ה</w:t>
      </w:r>
      <w:r w:rsidR="008720C1" w:rsidRPr="008720C1">
        <w:rPr>
          <w:rFonts w:ascii="Adobe Hebrew" w:eastAsia="Times New Roman" w:hAnsi="Adobe Hebrew"/>
          <w:b/>
          <w:bCs/>
          <w:szCs w:val="24"/>
          <w:rtl/>
        </w:rPr>
        <w:t xml:space="preserve">מבנה </w:t>
      </w:r>
      <w:r>
        <w:rPr>
          <w:rFonts w:ascii="Adobe Hebrew" w:eastAsia="Times New Roman" w:hAnsi="Adobe Hebrew" w:hint="cs"/>
          <w:b/>
          <w:bCs/>
          <w:szCs w:val="24"/>
          <w:rtl/>
        </w:rPr>
        <w:t>ה</w:t>
      </w:r>
      <w:r w:rsidR="008720C1" w:rsidRPr="00CB27DF">
        <w:rPr>
          <w:rFonts w:ascii="Adobe Hebrew" w:eastAsia="Times New Roman" w:hAnsi="Adobe Hebrew" w:hint="cs"/>
          <w:b/>
          <w:bCs/>
          <w:szCs w:val="24"/>
          <w:rtl/>
        </w:rPr>
        <w:t>אורבאנ</w:t>
      </w:r>
      <w:r w:rsidR="008720C1" w:rsidRPr="00CB27DF">
        <w:rPr>
          <w:rFonts w:ascii="Adobe Hebrew" w:eastAsia="Times New Roman" w:hAnsi="Adobe Hebrew" w:hint="eastAsia"/>
          <w:b/>
          <w:bCs/>
          <w:szCs w:val="24"/>
          <w:rtl/>
        </w:rPr>
        <w:t>י</w:t>
      </w:r>
      <w:r w:rsidR="008720C1" w:rsidRPr="008720C1">
        <w:rPr>
          <w:rFonts w:ascii="Adobe Hebrew" w:eastAsia="Times New Roman" w:hAnsi="Adobe Hebrew"/>
          <w:szCs w:val="24"/>
          <w:rtl/>
        </w:rPr>
        <w:t xml:space="preserve"> - השוק העירוני פתוח לעיר המושך אליו את הציבור ומכניס אליו את רחוב שדרות תל חי ע"י העמדת מבנים בקומת קרקע הפתוחים אל הרחוב ויוצרים זרימה</w:t>
      </w:r>
      <w:r>
        <w:rPr>
          <w:rFonts w:ascii="Adobe Hebrew" w:eastAsia="Times New Roman" w:hAnsi="Adobe Hebrew"/>
          <w:szCs w:val="24"/>
          <w:rtl/>
        </w:rPr>
        <w:t xml:space="preserve"> אל השוק ועלייה אל הפארק על גג </w:t>
      </w:r>
      <w:r w:rsidR="008720C1" w:rsidRPr="008720C1">
        <w:rPr>
          <w:rFonts w:ascii="Adobe Hebrew" w:eastAsia="Times New Roman" w:hAnsi="Adobe Hebrew"/>
          <w:szCs w:val="24"/>
          <w:rtl/>
        </w:rPr>
        <w:t>מבנה</w:t>
      </w:r>
      <w:r>
        <w:rPr>
          <w:rFonts w:ascii="Adobe Hebrew" w:eastAsia="Times New Roman" w:hAnsi="Adobe Hebrew" w:hint="cs"/>
          <w:szCs w:val="24"/>
          <w:rtl/>
        </w:rPr>
        <w:t xml:space="preserve"> השוק</w:t>
      </w:r>
      <w:r w:rsidR="008720C1" w:rsidRPr="008720C1">
        <w:rPr>
          <w:rFonts w:ascii="Adobe Hebrew" w:eastAsia="Times New Roman" w:hAnsi="Adobe Hebrew"/>
          <w:szCs w:val="24"/>
          <w:rtl/>
        </w:rPr>
        <w:t>.</w:t>
      </w:r>
    </w:p>
    <w:p w:rsidR="008720C1" w:rsidRPr="008720C1" w:rsidRDefault="008720C1" w:rsidP="008720C1">
      <w:pPr>
        <w:bidi w:val="0"/>
        <w:spacing w:after="0" w:line="240" w:lineRule="auto"/>
        <w:ind w:left="0" w:firstLine="0"/>
        <w:jc w:val="left"/>
        <w:rPr>
          <w:rFonts w:ascii="Adobe Hebrew" w:eastAsia="Times New Roman" w:hAnsi="Adobe Hebrew"/>
          <w:color w:val="auto"/>
          <w:szCs w:val="24"/>
          <w:rtl/>
        </w:rPr>
      </w:pPr>
    </w:p>
    <w:p w:rsidR="008720C1" w:rsidRPr="008720C1" w:rsidRDefault="008720C1" w:rsidP="00892D7D">
      <w:pPr>
        <w:spacing w:after="0" w:line="240" w:lineRule="auto"/>
        <w:ind w:left="0" w:firstLine="0"/>
        <w:jc w:val="left"/>
        <w:rPr>
          <w:rFonts w:ascii="Adobe Hebrew" w:eastAsia="Times New Roman" w:hAnsi="Adobe Hebrew"/>
          <w:color w:val="auto"/>
          <w:szCs w:val="24"/>
        </w:rPr>
      </w:pPr>
      <w:r w:rsidRPr="008720C1">
        <w:rPr>
          <w:rFonts w:ascii="Adobe Hebrew" w:eastAsia="Times New Roman" w:hAnsi="Adobe Hebrew"/>
          <w:b/>
          <w:bCs/>
          <w:szCs w:val="24"/>
          <w:rtl/>
        </w:rPr>
        <w:t xml:space="preserve">תנועה וכניסות - </w:t>
      </w:r>
      <w:r w:rsidR="00892D7D">
        <w:rPr>
          <w:rFonts w:ascii="Adobe Hebrew" w:eastAsia="Times New Roman" w:hAnsi="Adobe Hebrew" w:hint="cs"/>
          <w:szCs w:val="24"/>
          <w:rtl/>
        </w:rPr>
        <w:t xml:space="preserve">מספר כניסות: </w:t>
      </w:r>
      <w:r w:rsidRPr="008720C1">
        <w:rPr>
          <w:rFonts w:ascii="Adobe Hebrew" w:eastAsia="Times New Roman" w:hAnsi="Adobe Hebrew"/>
          <w:szCs w:val="24"/>
          <w:rtl/>
        </w:rPr>
        <w:t>כניסה מרחוב תל חי, כניסה מרחוב מרכז המסחרי</w:t>
      </w:r>
      <w:r w:rsidR="00892D7D">
        <w:rPr>
          <w:rFonts w:ascii="Adobe Hebrew" w:eastAsia="Times New Roman" w:hAnsi="Adobe Hebrew"/>
          <w:szCs w:val="24"/>
          <w:rtl/>
        </w:rPr>
        <w:t xml:space="preserve"> הסמוך לשוק, כניסה מהחניה </w:t>
      </w:r>
      <w:r w:rsidR="00892D7D">
        <w:rPr>
          <w:rFonts w:ascii="Adobe Hebrew" w:eastAsia="Times New Roman" w:hAnsi="Adobe Hebrew" w:hint="cs"/>
          <w:szCs w:val="24"/>
          <w:rtl/>
        </w:rPr>
        <w:t>הסמוכה</w:t>
      </w:r>
      <w:r w:rsidR="00892D7D">
        <w:rPr>
          <w:rFonts w:ascii="Adobe Hebrew" w:eastAsia="Times New Roman" w:hAnsi="Adobe Hebrew"/>
          <w:szCs w:val="24"/>
          <w:rtl/>
        </w:rPr>
        <w:t xml:space="preserve"> </w:t>
      </w:r>
      <w:r w:rsidR="00892D7D">
        <w:rPr>
          <w:rFonts w:ascii="Adobe Hebrew" w:eastAsia="Times New Roman" w:hAnsi="Adobe Hebrew" w:hint="cs"/>
          <w:szCs w:val="24"/>
          <w:rtl/>
        </w:rPr>
        <w:t>ל</w:t>
      </w:r>
      <w:r w:rsidRPr="008720C1">
        <w:rPr>
          <w:rFonts w:ascii="Adobe Hebrew" w:eastAsia="Times New Roman" w:hAnsi="Adobe Hebrew"/>
          <w:szCs w:val="24"/>
          <w:rtl/>
        </w:rPr>
        <w:t>שוק וכניסה אל חללי תעסוקה וחללי התכנסות מקומת קרקע ודרך הפארק.</w:t>
      </w:r>
      <w:r w:rsidR="00892D7D">
        <w:rPr>
          <w:rFonts w:ascii="Adobe Hebrew" w:eastAsia="Times New Roman" w:hAnsi="Adobe Hebrew" w:hint="cs"/>
          <w:color w:val="auto"/>
          <w:szCs w:val="24"/>
          <w:rtl/>
        </w:rPr>
        <w:t xml:space="preserve"> כניסות המאפשרות תנועה וזרימה לשוק ממרחב העיר.</w:t>
      </w:r>
    </w:p>
    <w:p w:rsidR="008720C1" w:rsidRPr="008720C1" w:rsidRDefault="008720C1" w:rsidP="008720C1">
      <w:pPr>
        <w:bidi w:val="0"/>
        <w:spacing w:after="0" w:line="240" w:lineRule="auto"/>
        <w:ind w:left="0" w:firstLine="0"/>
        <w:jc w:val="left"/>
        <w:rPr>
          <w:rFonts w:ascii="Adobe Hebrew" w:eastAsia="Times New Roman" w:hAnsi="Adobe Hebrew"/>
          <w:color w:val="auto"/>
          <w:szCs w:val="24"/>
          <w:rtl/>
        </w:rPr>
      </w:pPr>
    </w:p>
    <w:p w:rsidR="008720C1" w:rsidRPr="008720C1" w:rsidRDefault="008720C1" w:rsidP="008720C1">
      <w:pPr>
        <w:spacing w:after="0" w:line="240" w:lineRule="auto"/>
        <w:ind w:left="0" w:firstLine="0"/>
        <w:jc w:val="left"/>
        <w:rPr>
          <w:rFonts w:ascii="Adobe Hebrew" w:eastAsia="Times New Roman" w:hAnsi="Adobe Hebrew"/>
          <w:color w:val="auto"/>
          <w:szCs w:val="24"/>
        </w:rPr>
      </w:pPr>
      <w:r w:rsidRPr="008720C1">
        <w:rPr>
          <w:rFonts w:ascii="Adobe Hebrew" w:eastAsia="Times New Roman" w:hAnsi="Adobe Hebrew"/>
          <w:b/>
          <w:bCs/>
          <w:szCs w:val="24"/>
          <w:rtl/>
        </w:rPr>
        <w:t>מבנה מעורב שימושים</w:t>
      </w:r>
      <w:r w:rsidRPr="008720C1">
        <w:rPr>
          <w:rFonts w:ascii="Adobe Hebrew" w:eastAsia="Times New Roman" w:hAnsi="Adobe Hebrew"/>
          <w:szCs w:val="24"/>
          <w:rtl/>
        </w:rPr>
        <w:t xml:space="preserve"> - המבנה מתוכנן כמבנה המערב בתוכו מספר שימושים תוך שילובם אחד בשני ויצירת חללים הנפתחים זה לזה ויוצרים קשר עין ותצפיות. פונקציות המבנה השונות יוצרות חללים משותפים</w:t>
      </w:r>
      <w:r w:rsidR="00807139">
        <w:rPr>
          <w:rFonts w:ascii="Adobe Hebrew" w:eastAsia="Times New Roman" w:hAnsi="Adobe Hebrew" w:hint="cs"/>
          <w:szCs w:val="24"/>
          <w:rtl/>
        </w:rPr>
        <w:t xml:space="preserve"> העונים על מעגל הצריכים </w:t>
      </w:r>
      <w:r w:rsidR="00807139">
        <w:rPr>
          <w:rFonts w:ascii="Adobe Hebrew" w:eastAsia="Times New Roman" w:hAnsi="Adobe Hebrew" w:hint="cs"/>
          <w:color w:val="auto"/>
          <w:szCs w:val="24"/>
          <w:rtl/>
        </w:rPr>
        <w:t xml:space="preserve">של הפונקציות במבנה המזינות והניזנות אחת </w:t>
      </w:r>
      <w:proofErr w:type="spellStart"/>
      <w:r w:rsidR="00807139">
        <w:rPr>
          <w:rFonts w:ascii="Adobe Hebrew" w:eastAsia="Times New Roman" w:hAnsi="Adobe Hebrew" w:hint="cs"/>
          <w:color w:val="auto"/>
          <w:szCs w:val="24"/>
          <w:rtl/>
        </w:rPr>
        <w:t>מהשניה</w:t>
      </w:r>
      <w:proofErr w:type="spellEnd"/>
      <w:r w:rsidR="00807139">
        <w:rPr>
          <w:rFonts w:ascii="Adobe Hebrew" w:eastAsia="Times New Roman" w:hAnsi="Adobe Hebrew" w:hint="cs"/>
          <w:color w:val="auto"/>
          <w:szCs w:val="24"/>
          <w:rtl/>
        </w:rPr>
        <w:t>.</w:t>
      </w:r>
    </w:p>
    <w:p w:rsidR="008720C1" w:rsidRPr="008720C1" w:rsidRDefault="008720C1" w:rsidP="008720C1">
      <w:pPr>
        <w:bidi w:val="0"/>
        <w:spacing w:after="0" w:line="240" w:lineRule="auto"/>
        <w:ind w:left="0" w:firstLine="0"/>
        <w:jc w:val="left"/>
        <w:rPr>
          <w:rFonts w:ascii="Adobe Hebrew" w:eastAsia="Times New Roman" w:hAnsi="Adobe Hebrew"/>
          <w:color w:val="auto"/>
          <w:szCs w:val="24"/>
          <w:rtl/>
        </w:rPr>
      </w:pPr>
    </w:p>
    <w:p w:rsidR="008720C1" w:rsidRPr="00CB27DF" w:rsidRDefault="008720C1" w:rsidP="004C595D">
      <w:pPr>
        <w:spacing w:after="0" w:line="240" w:lineRule="auto"/>
        <w:ind w:left="0" w:firstLine="0"/>
        <w:jc w:val="left"/>
        <w:rPr>
          <w:rFonts w:ascii="Adobe Hebrew" w:eastAsia="Times New Roman" w:hAnsi="Adobe Hebrew"/>
          <w:color w:val="auto"/>
          <w:szCs w:val="24"/>
          <w:rtl/>
        </w:rPr>
      </w:pPr>
      <w:r w:rsidRPr="008720C1">
        <w:rPr>
          <w:rFonts w:ascii="Adobe Hebrew" w:eastAsia="Times New Roman" w:hAnsi="Adobe Hebrew"/>
          <w:b/>
          <w:bCs/>
          <w:szCs w:val="24"/>
          <w:rtl/>
        </w:rPr>
        <w:t xml:space="preserve">תיירות - מבנה השוק כמבנה </w:t>
      </w:r>
      <w:proofErr w:type="spellStart"/>
      <w:r w:rsidRPr="008720C1">
        <w:rPr>
          <w:rFonts w:ascii="Adobe Hebrew" w:eastAsia="Times New Roman" w:hAnsi="Adobe Hebrew"/>
          <w:b/>
          <w:bCs/>
          <w:szCs w:val="24"/>
          <w:rtl/>
        </w:rPr>
        <w:t>אייקוני</w:t>
      </w:r>
      <w:proofErr w:type="spellEnd"/>
      <w:r w:rsidRPr="008720C1">
        <w:rPr>
          <w:rFonts w:ascii="Adobe Hebrew" w:eastAsia="Times New Roman" w:hAnsi="Adobe Hebrew"/>
          <w:szCs w:val="24"/>
          <w:rtl/>
        </w:rPr>
        <w:t xml:space="preserve"> - העובדה כי מבנה השוק נמצא על ציר 90, המגיע מחוץ לעיר, נכנס אליה וחוצה אותה מדרום לצפון וממשיך הלאה, הופך את המבנה למבנה בעל משמעות המושך אליו מבקרים מסביב לעיר ומבקרים המטיילים באזור הצפון המגיעים </w:t>
      </w:r>
      <w:proofErr w:type="spellStart"/>
      <w:r w:rsidRPr="008720C1">
        <w:rPr>
          <w:rFonts w:ascii="Adobe Hebrew" w:eastAsia="Times New Roman" w:hAnsi="Adobe Hebrew"/>
          <w:szCs w:val="24"/>
          <w:rtl/>
        </w:rPr>
        <w:t>לקרית</w:t>
      </w:r>
      <w:proofErr w:type="spellEnd"/>
      <w:r w:rsidRPr="008720C1">
        <w:rPr>
          <w:rFonts w:ascii="Adobe Hebrew" w:eastAsia="Times New Roman" w:hAnsi="Adobe Hebrew"/>
          <w:szCs w:val="24"/>
          <w:rtl/>
        </w:rPr>
        <w:t xml:space="preserve"> שמונה המעניקה את שירותיה כעיר מחוז. המבנה מציע</w:t>
      </w:r>
      <w:r w:rsidR="00807139">
        <w:rPr>
          <w:rFonts w:ascii="Adobe Hebrew" w:eastAsia="Times New Roman" w:hAnsi="Adobe Hebrew" w:hint="cs"/>
          <w:szCs w:val="24"/>
          <w:rtl/>
        </w:rPr>
        <w:t xml:space="preserve"> אתנחתה ומפגש בין המבקרים למקומיים במרכז העיר ומציע</w:t>
      </w:r>
      <w:r w:rsidRPr="008720C1">
        <w:rPr>
          <w:rFonts w:ascii="Adobe Hebrew" w:eastAsia="Times New Roman" w:hAnsi="Adobe Hebrew"/>
          <w:szCs w:val="24"/>
          <w:rtl/>
        </w:rPr>
        <w:t xml:space="preserve"> </w:t>
      </w:r>
      <w:r w:rsidR="00807139">
        <w:rPr>
          <w:rFonts w:ascii="Adobe Hebrew" w:eastAsia="Times New Roman" w:hAnsi="Adobe Hebrew" w:hint="cs"/>
          <w:szCs w:val="24"/>
          <w:rtl/>
        </w:rPr>
        <w:t>שירותי</w:t>
      </w:r>
      <w:r w:rsidRPr="008720C1">
        <w:rPr>
          <w:rFonts w:ascii="Adobe Hebrew" w:eastAsia="Times New Roman" w:hAnsi="Adobe Hebrew"/>
          <w:szCs w:val="24"/>
          <w:rtl/>
        </w:rPr>
        <w:t xml:space="preserve"> תיירות, הסעדה, קולינריה, מסחר ופארק המתפקד כטיילת המאפשרת תצפית על העיר והאזור מסביבה</w:t>
      </w:r>
      <w:r w:rsidR="00807139">
        <w:rPr>
          <w:rFonts w:ascii="Adobe Hebrew" w:eastAsia="Times New Roman" w:hAnsi="Adobe Hebrew" w:hint="cs"/>
          <w:szCs w:val="24"/>
          <w:rtl/>
        </w:rPr>
        <w:t xml:space="preserve"> וכן תצפית ומפגש </w:t>
      </w:r>
      <w:r w:rsidR="004C595D">
        <w:rPr>
          <w:rFonts w:ascii="Adobe Hebrew" w:eastAsia="Times New Roman" w:hAnsi="Adobe Hebrew" w:hint="cs"/>
          <w:szCs w:val="24"/>
          <w:rtl/>
        </w:rPr>
        <w:t>ל</w:t>
      </w:r>
      <w:r w:rsidR="00807139">
        <w:rPr>
          <w:rFonts w:ascii="Adobe Hebrew" w:eastAsia="Times New Roman" w:hAnsi="Adobe Hebrew" w:hint="cs"/>
          <w:szCs w:val="24"/>
          <w:rtl/>
        </w:rPr>
        <w:t>התרחשות במבנה עצמו.</w:t>
      </w:r>
    </w:p>
    <w:p w:rsidR="008720C1" w:rsidRPr="00CB27DF" w:rsidRDefault="008720C1" w:rsidP="008720C1">
      <w:pPr>
        <w:spacing w:after="0" w:line="240" w:lineRule="auto"/>
        <w:ind w:left="0" w:firstLine="0"/>
        <w:jc w:val="left"/>
        <w:rPr>
          <w:rFonts w:ascii="Adobe Hebrew" w:eastAsia="Times New Roman" w:hAnsi="Adobe Hebrew"/>
          <w:color w:val="auto"/>
          <w:szCs w:val="24"/>
          <w:rtl/>
        </w:rPr>
      </w:pPr>
    </w:p>
    <w:p w:rsidR="008720C1" w:rsidRPr="00CB27DF" w:rsidRDefault="008720C1" w:rsidP="008720C1">
      <w:pPr>
        <w:spacing w:after="93" w:line="259" w:lineRule="auto"/>
        <w:ind w:left="-4" w:right="4985" w:hanging="10"/>
        <w:jc w:val="left"/>
        <w:rPr>
          <w:rFonts w:ascii="Adobe Hebrew" w:eastAsia="Times New Roman" w:hAnsi="Adobe Hebrew"/>
          <w:color w:val="auto"/>
          <w:szCs w:val="24"/>
          <w:rtl/>
        </w:rPr>
      </w:pPr>
    </w:p>
    <w:p w:rsidR="008720C1" w:rsidRPr="008720C1" w:rsidRDefault="008720C1" w:rsidP="008720C1">
      <w:pPr>
        <w:spacing w:after="93" w:line="259" w:lineRule="auto"/>
        <w:ind w:left="-4" w:right="4985" w:hanging="10"/>
        <w:jc w:val="left"/>
        <w:rPr>
          <w:rFonts w:ascii="Adobe Hebrew" w:eastAsia="Times New Roman" w:hAnsi="Adobe Hebrew"/>
          <w:color w:val="auto"/>
          <w:szCs w:val="24"/>
        </w:rPr>
      </w:pPr>
      <w:r w:rsidRPr="008720C1">
        <w:rPr>
          <w:rFonts w:ascii="Adobe Hebrew" w:eastAsia="Times New Roman" w:hAnsi="Adobe Hebrew"/>
          <w:b/>
          <w:bCs/>
          <w:szCs w:val="24"/>
          <w:rtl/>
        </w:rPr>
        <w:t>פונקציות המבנה</w:t>
      </w:r>
    </w:p>
    <w:p w:rsidR="008720C1" w:rsidRPr="008720C1" w:rsidRDefault="008720C1" w:rsidP="004C595D">
      <w:pPr>
        <w:spacing w:after="0" w:line="240" w:lineRule="auto"/>
        <w:ind w:left="0" w:firstLine="0"/>
        <w:jc w:val="left"/>
        <w:rPr>
          <w:rFonts w:ascii="Adobe Hebrew" w:eastAsia="Times New Roman" w:hAnsi="Adobe Hebrew"/>
          <w:color w:val="auto"/>
          <w:szCs w:val="24"/>
        </w:rPr>
      </w:pPr>
      <w:r w:rsidRPr="008720C1">
        <w:rPr>
          <w:rFonts w:ascii="Adobe Hebrew" w:eastAsia="Times New Roman" w:hAnsi="Adobe Hebrew"/>
          <w:b/>
          <w:bCs/>
          <w:szCs w:val="24"/>
          <w:rtl/>
        </w:rPr>
        <w:t xml:space="preserve">קומת קרקע - </w:t>
      </w:r>
      <w:r w:rsidRPr="008720C1">
        <w:rPr>
          <w:rFonts w:ascii="Adobe Hebrew" w:eastAsia="Times New Roman" w:hAnsi="Adobe Hebrew"/>
          <w:szCs w:val="24"/>
          <w:rtl/>
        </w:rPr>
        <w:t>משמשת כמתחם הפתוח לעיר ולציבור</w:t>
      </w:r>
      <w:r w:rsidR="004C595D">
        <w:rPr>
          <w:rFonts w:ascii="Adobe Hebrew" w:eastAsia="Times New Roman" w:hAnsi="Adobe Hebrew" w:hint="cs"/>
          <w:szCs w:val="24"/>
          <w:rtl/>
        </w:rPr>
        <w:t>,</w:t>
      </w:r>
      <w:r w:rsidRPr="008720C1">
        <w:rPr>
          <w:rFonts w:ascii="Adobe Hebrew" w:eastAsia="Times New Roman" w:hAnsi="Adobe Hebrew"/>
          <w:szCs w:val="24"/>
          <w:rtl/>
        </w:rPr>
        <w:t xml:space="preserve"> המכילה את מתחם השוק, מסחר בו חנויות, בתי קפה, מסעדות, קולינריה וכדומה. ומבנה לובי והתכנסות למפלס העליון.</w:t>
      </w:r>
    </w:p>
    <w:p w:rsidR="008720C1" w:rsidRPr="008720C1" w:rsidRDefault="008720C1" w:rsidP="008720C1">
      <w:pPr>
        <w:bidi w:val="0"/>
        <w:spacing w:after="0" w:line="240" w:lineRule="auto"/>
        <w:ind w:left="0" w:firstLine="0"/>
        <w:jc w:val="left"/>
        <w:rPr>
          <w:rFonts w:ascii="Adobe Hebrew" w:eastAsia="Times New Roman" w:hAnsi="Adobe Hebrew"/>
          <w:color w:val="auto"/>
          <w:szCs w:val="24"/>
          <w:rtl/>
        </w:rPr>
      </w:pPr>
    </w:p>
    <w:p w:rsidR="008720C1" w:rsidRPr="008720C1" w:rsidRDefault="008720C1" w:rsidP="004C595D">
      <w:pPr>
        <w:spacing w:after="0" w:line="240" w:lineRule="auto"/>
        <w:ind w:left="0" w:firstLine="0"/>
        <w:jc w:val="left"/>
        <w:rPr>
          <w:rFonts w:ascii="Adobe Hebrew" w:eastAsia="Times New Roman" w:hAnsi="Adobe Hebrew"/>
          <w:color w:val="auto"/>
          <w:szCs w:val="24"/>
        </w:rPr>
      </w:pPr>
      <w:r w:rsidRPr="008720C1">
        <w:rPr>
          <w:rFonts w:ascii="Adobe Hebrew" w:eastAsia="Times New Roman" w:hAnsi="Adobe Hebrew"/>
          <w:b/>
          <w:bCs/>
          <w:szCs w:val="24"/>
          <w:rtl/>
        </w:rPr>
        <w:t xml:space="preserve">מפלס קומה </w:t>
      </w:r>
      <w:r w:rsidR="004C595D">
        <w:rPr>
          <w:rFonts w:ascii="Adobe Hebrew" w:eastAsia="Times New Roman" w:hAnsi="Adobe Hebrew" w:hint="cs"/>
          <w:b/>
          <w:bCs/>
          <w:szCs w:val="24"/>
          <w:rtl/>
        </w:rPr>
        <w:t>עליונה</w:t>
      </w:r>
      <w:r w:rsidRPr="008720C1">
        <w:rPr>
          <w:rFonts w:ascii="Adobe Hebrew" w:eastAsia="Times New Roman" w:hAnsi="Adobe Hebrew"/>
          <w:szCs w:val="24"/>
          <w:rtl/>
        </w:rPr>
        <w:t xml:space="preserve"> - משמש לחללי תעסוקה חדשניים וחללי התכנסות וסדנאות וכיתות לימוד הניתנים לעיצוב וחלוקה באופן אישי תוך שיתוף חלל משותף מרכזי ועירוב הפונקציות.</w:t>
      </w:r>
    </w:p>
    <w:p w:rsidR="008720C1" w:rsidRPr="008720C1" w:rsidRDefault="008720C1" w:rsidP="008720C1">
      <w:pPr>
        <w:bidi w:val="0"/>
        <w:spacing w:after="0" w:line="240" w:lineRule="auto"/>
        <w:ind w:left="0" w:firstLine="0"/>
        <w:jc w:val="left"/>
        <w:rPr>
          <w:rFonts w:ascii="Adobe Hebrew" w:eastAsia="Times New Roman" w:hAnsi="Adobe Hebrew"/>
          <w:color w:val="auto"/>
          <w:szCs w:val="24"/>
          <w:rtl/>
        </w:rPr>
      </w:pPr>
    </w:p>
    <w:p w:rsidR="009D75C9" w:rsidRDefault="008720C1" w:rsidP="008720C1">
      <w:pPr>
        <w:spacing w:after="0" w:line="240" w:lineRule="auto"/>
        <w:ind w:left="0" w:firstLine="0"/>
        <w:jc w:val="left"/>
        <w:rPr>
          <w:rFonts w:ascii="Adobe Hebrew" w:eastAsia="Times New Roman" w:hAnsi="Adobe Hebrew" w:hint="cs"/>
          <w:szCs w:val="24"/>
          <w:rtl/>
        </w:rPr>
      </w:pPr>
      <w:r w:rsidRPr="008720C1">
        <w:rPr>
          <w:rFonts w:ascii="Adobe Hebrew" w:eastAsia="Times New Roman" w:hAnsi="Adobe Hebrew"/>
          <w:b/>
          <w:bCs/>
          <w:szCs w:val="24"/>
          <w:rtl/>
        </w:rPr>
        <w:t>מפלס הגג</w:t>
      </w:r>
      <w:r w:rsidRPr="008720C1">
        <w:rPr>
          <w:rFonts w:ascii="Adobe Hebrew" w:eastAsia="Times New Roman" w:hAnsi="Adobe Hebrew"/>
          <w:szCs w:val="24"/>
          <w:rtl/>
        </w:rPr>
        <w:t xml:space="preserve"> - </w:t>
      </w:r>
      <w:r w:rsidR="009D75C9">
        <w:rPr>
          <w:rFonts w:ascii="Adobe Hebrew" w:eastAsia="Times New Roman" w:hAnsi="Adobe Hebrew" w:hint="cs"/>
          <w:szCs w:val="24"/>
          <w:rtl/>
        </w:rPr>
        <w:t>גג ירוק המשתלב בנוף רכס ההרים הירוקים הנשקף מהגג .</w:t>
      </w:r>
    </w:p>
    <w:p w:rsidR="008720C1" w:rsidRPr="008720C1" w:rsidRDefault="009D75C9" w:rsidP="009D75C9">
      <w:pPr>
        <w:spacing w:after="0" w:line="240" w:lineRule="auto"/>
        <w:ind w:left="0" w:firstLine="0"/>
        <w:jc w:val="left"/>
        <w:rPr>
          <w:rFonts w:ascii="Adobe Hebrew" w:eastAsia="Times New Roman" w:hAnsi="Adobe Hebrew"/>
          <w:color w:val="auto"/>
          <w:szCs w:val="24"/>
        </w:rPr>
      </w:pPr>
      <w:r>
        <w:rPr>
          <w:rFonts w:ascii="Adobe Hebrew" w:eastAsia="Times New Roman" w:hAnsi="Adobe Hebrew" w:hint="cs"/>
          <w:szCs w:val="24"/>
          <w:rtl/>
        </w:rPr>
        <w:t xml:space="preserve">שימוש עיקרי כטיילת ותצפית מהמבנה להרים ולנוף העיר וכן תצפית אל פנים מבנה השוק כחלק בלתי נפרד מיחידת הנוף. חלקי הגג המקורים בזכוכית מהווים כניסת אור טבעי אל פנים מבנה השוק. </w:t>
      </w:r>
    </w:p>
    <w:p w:rsidR="003F31C2" w:rsidRPr="00CB27DF" w:rsidRDefault="008720C1" w:rsidP="008720C1">
      <w:pPr>
        <w:spacing w:after="93" w:line="259" w:lineRule="auto"/>
        <w:ind w:left="-4" w:right="4985" w:hanging="10"/>
        <w:jc w:val="left"/>
        <w:rPr>
          <w:rFonts w:ascii="Adobe Hebrew" w:hAnsi="Adobe Hebrew"/>
          <w:szCs w:val="24"/>
        </w:rPr>
      </w:pPr>
      <w:r w:rsidRPr="00CB27DF">
        <w:rPr>
          <w:rFonts w:ascii="Adobe Hebrew" w:eastAsia="Times New Roman" w:hAnsi="Adobe Hebrew"/>
          <w:color w:val="auto"/>
          <w:szCs w:val="24"/>
        </w:rPr>
        <w:br/>
      </w:r>
    </w:p>
    <w:sectPr w:rsidR="003F31C2" w:rsidRPr="00CB27DF" w:rsidSect="007A3523">
      <w:headerReference w:type="even" r:id="rId7"/>
      <w:headerReference w:type="default" r:id="rId8"/>
      <w:footerReference w:type="even" r:id="rId9"/>
      <w:footerReference w:type="default" r:id="rId10"/>
      <w:headerReference w:type="first" r:id="rId11"/>
      <w:footerReference w:type="first" r:id="rId12"/>
      <w:pgSz w:w="11906" w:h="16838"/>
      <w:pgMar w:top="2202" w:right="1795" w:bottom="1441" w:left="1800" w:header="180" w:footer="707" w:gutter="0"/>
      <w:pgNumType w:start="2"/>
      <w:cols w:space="720"/>
      <w:titlePg/>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914" w:rsidRDefault="00803914">
      <w:pPr>
        <w:spacing w:after="0" w:line="240" w:lineRule="auto"/>
      </w:pPr>
      <w:r>
        <w:separator/>
      </w:r>
    </w:p>
  </w:endnote>
  <w:endnote w:type="continuationSeparator" w:id="0">
    <w:p w:rsidR="00803914" w:rsidRDefault="008039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dobe Hebrew">
    <w:panose1 w:val="00000000000000000000"/>
    <w:charset w:val="00"/>
    <w:family w:val="roman"/>
    <w:notTrueType/>
    <w:pitch w:val="variable"/>
    <w:sig w:usb0="8000086F" w:usb1="4000204A" w:usb2="00000000" w:usb3="00000000" w:csb0="0000002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C2" w:rsidRDefault="009C5491">
    <w:pPr>
      <w:bidi w:val="0"/>
      <w:spacing w:after="0" w:line="259" w:lineRule="auto"/>
      <w:ind w:left="0" w:right="1" w:firstLine="0"/>
      <w:jc w:val="right"/>
    </w:pPr>
    <w:r>
      <w:rPr>
        <w:rFonts w:ascii="Calibri" w:eastAsia="Calibri" w:hAnsi="Calibri" w:cs="Calibri"/>
        <w:sz w:val="22"/>
      </w:rPr>
      <w:t xml:space="preserve"> </w:t>
    </w:r>
    <w:r w:rsidR="007A3523" w:rsidRPr="007A3523">
      <w:fldChar w:fldCharType="begin"/>
    </w:r>
    <w:r>
      <w:instrText xml:space="preserve"> PAGE   \* MERGEFORMAT </w:instrText>
    </w:r>
    <w:r w:rsidR="007A3523" w:rsidRPr="007A3523">
      <w:fldChar w:fldCharType="separate"/>
    </w:r>
    <w:r>
      <w:rPr>
        <w:rFonts w:ascii="Arial" w:eastAsia="Arial" w:hAnsi="Arial" w:cs="Arial"/>
        <w:sz w:val="22"/>
      </w:rPr>
      <w:t>2</w:t>
    </w:r>
    <w:r w:rsidR="007A3523">
      <w:rPr>
        <w:rFonts w:ascii="Arial" w:eastAsia="Arial" w:hAnsi="Arial" w:cs="Arial"/>
        <w:sz w:val="22"/>
      </w:rPr>
      <w:fldChar w:fldCharType="end"/>
    </w:r>
  </w:p>
  <w:p w:rsidR="003F31C2" w:rsidRDefault="009C5491">
    <w:pPr>
      <w:bidi w:val="0"/>
      <w:spacing w:after="0" w:line="259" w:lineRule="auto"/>
      <w:ind w:left="0" w:right="83" w:firstLine="0"/>
      <w:jc w:val="right"/>
    </w:pPr>
    <w:r>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C2" w:rsidRDefault="009C5491">
    <w:pPr>
      <w:bidi w:val="0"/>
      <w:spacing w:after="0" w:line="259" w:lineRule="auto"/>
      <w:ind w:left="0" w:right="1" w:firstLine="0"/>
      <w:jc w:val="right"/>
    </w:pPr>
    <w:r>
      <w:rPr>
        <w:rFonts w:ascii="Calibri" w:eastAsia="Calibri" w:hAnsi="Calibri" w:cs="Calibri"/>
        <w:sz w:val="22"/>
      </w:rPr>
      <w:t xml:space="preserve"> </w:t>
    </w:r>
    <w:r w:rsidR="007A3523" w:rsidRPr="007A3523">
      <w:fldChar w:fldCharType="begin"/>
    </w:r>
    <w:r>
      <w:instrText xml:space="preserve"> PAGE   \* MERGEFORMAT </w:instrText>
    </w:r>
    <w:r w:rsidR="007A3523" w:rsidRPr="007A3523">
      <w:fldChar w:fldCharType="separate"/>
    </w:r>
    <w:r w:rsidR="008720C1" w:rsidRPr="008720C1">
      <w:rPr>
        <w:rFonts w:ascii="Arial" w:eastAsia="Arial" w:hAnsi="Arial" w:cs="Arial"/>
        <w:noProof/>
        <w:sz w:val="22"/>
      </w:rPr>
      <w:t>3</w:t>
    </w:r>
    <w:r w:rsidR="007A3523">
      <w:rPr>
        <w:rFonts w:ascii="Arial" w:eastAsia="Arial" w:hAnsi="Arial" w:cs="Arial"/>
        <w:sz w:val="22"/>
      </w:rPr>
      <w:fldChar w:fldCharType="end"/>
    </w:r>
  </w:p>
  <w:p w:rsidR="003F31C2" w:rsidRDefault="009C5491">
    <w:pPr>
      <w:bidi w:val="0"/>
      <w:spacing w:after="0" w:line="259" w:lineRule="auto"/>
      <w:ind w:left="0" w:right="83" w:firstLine="0"/>
      <w:jc w:val="right"/>
    </w:pPr>
    <w:r>
      <w:rPr>
        <w:rFonts w:ascii="Calibri" w:eastAsia="Calibri" w:hAnsi="Calibri" w:cs="Calibri"/>
        <w:sz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C2" w:rsidRDefault="009C5491" w:rsidP="009C5491">
    <w:pPr>
      <w:bidi w:val="0"/>
      <w:spacing w:after="0" w:line="259" w:lineRule="auto"/>
      <w:ind w:left="0" w:right="83" w:firstLine="0"/>
      <w:jc w:val="center"/>
    </w:pPr>
    <w:r>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914" w:rsidRDefault="00803914">
      <w:pPr>
        <w:spacing w:after="0" w:line="240" w:lineRule="auto"/>
      </w:pPr>
      <w:r>
        <w:separator/>
      </w:r>
    </w:p>
  </w:footnote>
  <w:footnote w:type="continuationSeparator" w:id="0">
    <w:p w:rsidR="00803914" w:rsidRDefault="008039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C2" w:rsidRDefault="009C5491">
    <w:pPr>
      <w:bidi w:val="0"/>
      <w:spacing w:after="0" w:line="259" w:lineRule="auto"/>
      <w:ind w:left="0" w:right="60" w:firstLine="0"/>
      <w:jc w:val="right"/>
    </w:pPr>
    <w:r>
      <w:rPr>
        <w:noProof/>
      </w:rPr>
      <w:drawing>
        <wp:anchor distT="0" distB="0" distL="114300" distR="114300" simplePos="0" relativeHeight="251660288" behindDoc="0" locked="0" layoutInCell="1" allowOverlap="0">
          <wp:simplePos x="0" y="0"/>
          <wp:positionH relativeFrom="page">
            <wp:posOffset>5353050</wp:posOffset>
          </wp:positionH>
          <wp:positionV relativeFrom="page">
            <wp:posOffset>132715</wp:posOffset>
          </wp:positionV>
          <wp:extent cx="1757680" cy="923925"/>
          <wp:effectExtent l="0" t="0" r="0" b="0"/>
          <wp:wrapSquare wrapText="bothSides"/>
          <wp:docPr id="2607" name="Picture 2607"/>
          <wp:cNvGraphicFramePr/>
          <a:graphic xmlns:a="http://schemas.openxmlformats.org/drawingml/2006/main">
            <a:graphicData uri="http://schemas.openxmlformats.org/drawingml/2006/picture">
              <pic:pic xmlns:pic="http://schemas.openxmlformats.org/drawingml/2006/picture">
                <pic:nvPicPr>
                  <pic:cNvPr id="2607" name="Picture 2607"/>
                  <pic:cNvPicPr/>
                </pic:nvPicPr>
                <pic:blipFill>
                  <a:blip r:embed="rId1"/>
                  <a:stretch>
                    <a:fillRect/>
                  </a:stretch>
                </pic:blipFill>
                <pic:spPr>
                  <a:xfrm>
                    <a:off x="0" y="0"/>
                    <a:ext cx="1757680" cy="923925"/>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457200</wp:posOffset>
          </wp:positionH>
          <wp:positionV relativeFrom="page">
            <wp:posOffset>114300</wp:posOffset>
          </wp:positionV>
          <wp:extent cx="752475" cy="796925"/>
          <wp:effectExtent l="0" t="0" r="0" b="0"/>
          <wp:wrapSquare wrapText="bothSides"/>
          <wp:docPr id="2609" name="Picture 2609"/>
          <wp:cNvGraphicFramePr/>
          <a:graphic xmlns:a="http://schemas.openxmlformats.org/drawingml/2006/main">
            <a:graphicData uri="http://schemas.openxmlformats.org/drawingml/2006/picture">
              <pic:pic xmlns:pic="http://schemas.openxmlformats.org/drawingml/2006/picture">
                <pic:nvPicPr>
                  <pic:cNvPr id="2609" name="Picture 2609"/>
                  <pic:cNvPicPr/>
                </pic:nvPicPr>
                <pic:blipFill>
                  <a:blip r:embed="rId2"/>
                  <a:stretch>
                    <a:fillRect/>
                  </a:stretch>
                </pic:blipFill>
                <pic:spPr>
                  <a:xfrm>
                    <a:off x="0" y="0"/>
                    <a:ext cx="752475" cy="796925"/>
                  </a:xfrm>
                  <a:prstGeom prst="rect">
                    <a:avLst/>
                  </a:prstGeom>
                </pic:spPr>
              </pic:pic>
            </a:graphicData>
          </a:graphic>
        </wp:anchor>
      </w:drawing>
    </w:r>
    <w:r>
      <w:rPr>
        <w:rFonts w:ascii="Arial" w:eastAsia="Arial" w:hAnsi="Arial" w:cs="Arial"/>
        <w:sz w:val="22"/>
      </w:rPr>
      <w:t xml:space="preserve"> </w:t>
    </w:r>
  </w:p>
  <w:p w:rsidR="003F31C2" w:rsidRDefault="009C5491">
    <w:pPr>
      <w:bidi w:val="0"/>
      <w:spacing w:after="42" w:line="259" w:lineRule="auto"/>
      <w:ind w:left="0" w:right="83" w:firstLine="0"/>
      <w:jc w:val="right"/>
    </w:pPr>
    <w:r>
      <w:rPr>
        <w:rFonts w:ascii="Calibri" w:eastAsia="Calibri" w:hAnsi="Calibri" w:cs="Calibri"/>
        <w:sz w:val="22"/>
      </w:rPr>
      <w:t xml:space="preserve"> </w:t>
    </w:r>
  </w:p>
  <w:p w:rsidR="003F31C2" w:rsidRDefault="009C5491">
    <w:pPr>
      <w:bidi w:val="0"/>
      <w:spacing w:after="0" w:line="259" w:lineRule="auto"/>
      <w:ind w:left="6188" w:firstLine="0"/>
      <w:jc w:val="left"/>
    </w:pP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Arial" w:eastAsia="Arial" w:hAnsi="Arial" w:cs="Arial"/>
        <w:sz w:val="2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C2" w:rsidRDefault="009C5491">
    <w:pPr>
      <w:bidi w:val="0"/>
      <w:spacing w:after="0" w:line="259" w:lineRule="auto"/>
      <w:ind w:left="0" w:right="60" w:firstLine="0"/>
      <w:jc w:val="right"/>
    </w:pPr>
    <w:r>
      <w:rPr>
        <w:noProof/>
      </w:rPr>
      <w:drawing>
        <wp:anchor distT="0" distB="0" distL="114300" distR="114300" simplePos="0" relativeHeight="251662336" behindDoc="0" locked="0" layoutInCell="1" allowOverlap="0">
          <wp:simplePos x="0" y="0"/>
          <wp:positionH relativeFrom="page">
            <wp:posOffset>5353050</wp:posOffset>
          </wp:positionH>
          <wp:positionV relativeFrom="page">
            <wp:posOffset>132715</wp:posOffset>
          </wp:positionV>
          <wp:extent cx="1757680" cy="9239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607" name="Picture 2607"/>
                  <pic:cNvPicPr/>
                </pic:nvPicPr>
                <pic:blipFill>
                  <a:blip r:embed="rId1"/>
                  <a:stretch>
                    <a:fillRect/>
                  </a:stretch>
                </pic:blipFill>
                <pic:spPr>
                  <a:xfrm>
                    <a:off x="0" y="0"/>
                    <a:ext cx="1757680" cy="923925"/>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457200</wp:posOffset>
          </wp:positionH>
          <wp:positionV relativeFrom="page">
            <wp:posOffset>114300</wp:posOffset>
          </wp:positionV>
          <wp:extent cx="752475" cy="7969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609" name="Picture 2609"/>
                  <pic:cNvPicPr/>
                </pic:nvPicPr>
                <pic:blipFill>
                  <a:blip r:embed="rId2"/>
                  <a:stretch>
                    <a:fillRect/>
                  </a:stretch>
                </pic:blipFill>
                <pic:spPr>
                  <a:xfrm>
                    <a:off x="0" y="0"/>
                    <a:ext cx="752475" cy="796925"/>
                  </a:xfrm>
                  <a:prstGeom prst="rect">
                    <a:avLst/>
                  </a:prstGeom>
                </pic:spPr>
              </pic:pic>
            </a:graphicData>
          </a:graphic>
        </wp:anchor>
      </w:drawing>
    </w:r>
    <w:r>
      <w:rPr>
        <w:rFonts w:ascii="Arial" w:eastAsia="Arial" w:hAnsi="Arial" w:cs="Arial"/>
        <w:sz w:val="22"/>
      </w:rPr>
      <w:t xml:space="preserve"> </w:t>
    </w:r>
  </w:p>
  <w:p w:rsidR="003F31C2" w:rsidRDefault="009C5491">
    <w:pPr>
      <w:bidi w:val="0"/>
      <w:spacing w:after="42" w:line="259" w:lineRule="auto"/>
      <w:ind w:left="0" w:right="83" w:firstLine="0"/>
      <w:jc w:val="right"/>
    </w:pPr>
    <w:r>
      <w:rPr>
        <w:rFonts w:ascii="Calibri" w:eastAsia="Calibri" w:hAnsi="Calibri" w:cs="Calibri"/>
        <w:sz w:val="22"/>
      </w:rPr>
      <w:t xml:space="preserve"> </w:t>
    </w:r>
  </w:p>
  <w:p w:rsidR="003F31C2" w:rsidRDefault="009C5491">
    <w:pPr>
      <w:bidi w:val="0"/>
      <w:spacing w:after="0" w:line="259" w:lineRule="auto"/>
      <w:ind w:left="6188" w:firstLine="0"/>
      <w:jc w:val="left"/>
    </w:pP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Arial" w:eastAsia="Arial" w:hAnsi="Arial" w:cs="Arial"/>
        <w:sz w:val="26"/>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C2" w:rsidRDefault="009C5491">
    <w:pPr>
      <w:bidi w:val="0"/>
      <w:spacing w:after="0" w:line="227" w:lineRule="auto"/>
      <w:ind w:left="8178" w:right="60" w:firstLine="12"/>
    </w:pPr>
    <w:r>
      <w:rPr>
        <w:noProof/>
      </w:rPr>
      <w:drawing>
        <wp:anchor distT="0" distB="0" distL="114300" distR="114300" simplePos="0" relativeHeight="251664384" behindDoc="0" locked="0" layoutInCell="1" allowOverlap="0">
          <wp:simplePos x="0" y="0"/>
          <wp:positionH relativeFrom="page">
            <wp:posOffset>5353050</wp:posOffset>
          </wp:positionH>
          <wp:positionV relativeFrom="page">
            <wp:posOffset>132715</wp:posOffset>
          </wp:positionV>
          <wp:extent cx="1757680" cy="92392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
                  <a:stretch>
                    <a:fillRect/>
                  </a:stretch>
                </pic:blipFill>
                <pic:spPr>
                  <a:xfrm>
                    <a:off x="0" y="0"/>
                    <a:ext cx="1757680" cy="923925"/>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457200</wp:posOffset>
          </wp:positionH>
          <wp:positionV relativeFrom="page">
            <wp:posOffset>114300</wp:posOffset>
          </wp:positionV>
          <wp:extent cx="752475" cy="79692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2"/>
                  <a:stretch>
                    <a:fillRect/>
                  </a:stretch>
                </pic:blipFill>
                <pic:spPr>
                  <a:xfrm>
                    <a:off x="0" y="0"/>
                    <a:ext cx="752475" cy="796925"/>
                  </a:xfrm>
                  <a:prstGeom prst="rect">
                    <a:avLst/>
                  </a:prstGeom>
                </pic:spPr>
              </pic:pic>
            </a:graphicData>
          </a:graphic>
        </wp:anchor>
      </w:drawing>
    </w:r>
    <w:r>
      <w:rPr>
        <w:rFonts w:ascii="Arial" w:eastAsia="Arial" w:hAnsi="Arial" w:cs="Arial"/>
        <w:sz w:val="22"/>
      </w:rPr>
      <w:t xml:space="preserve"> </w:t>
    </w:r>
    <w:r>
      <w:rPr>
        <w:rFonts w:ascii="Calibri" w:eastAsia="Calibri" w:hAnsi="Calibri" w:cs="Calibri"/>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D096D"/>
    <w:multiLevelType w:val="hybridMultilevel"/>
    <w:tmpl w:val="ADF0737C"/>
    <w:lvl w:ilvl="0" w:tplc="CEDA2B30">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8C7AE6">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9E2898">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2C8530">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12D68E">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52ED5E">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988A0A">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FAAA64">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1AEEAA">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2F3C5FF4"/>
    <w:multiLevelType w:val="hybridMultilevel"/>
    <w:tmpl w:val="9C68A940"/>
    <w:lvl w:ilvl="0" w:tplc="80D6F0B8">
      <w:start w:val="16"/>
      <w:numFmt w:val="decimal"/>
      <w:lvlText w:val="%1"/>
      <w:lvlJc w:val="left"/>
      <w:pPr>
        <w:ind w:left="98"/>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1" w:tplc="567C5D9E">
      <w:start w:val="1"/>
      <w:numFmt w:val="lowerLetter"/>
      <w:lvlText w:val="%2"/>
      <w:lvlJc w:val="left"/>
      <w:pPr>
        <w:ind w:left="140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2" w:tplc="F8EC4012">
      <w:start w:val="1"/>
      <w:numFmt w:val="lowerRoman"/>
      <w:lvlText w:val="%3"/>
      <w:lvlJc w:val="left"/>
      <w:pPr>
        <w:ind w:left="212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3" w:tplc="5FA6C6B4">
      <w:start w:val="1"/>
      <w:numFmt w:val="decimal"/>
      <w:lvlText w:val="%4"/>
      <w:lvlJc w:val="left"/>
      <w:pPr>
        <w:ind w:left="284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4" w:tplc="991074FA">
      <w:start w:val="1"/>
      <w:numFmt w:val="lowerLetter"/>
      <w:lvlText w:val="%5"/>
      <w:lvlJc w:val="left"/>
      <w:pPr>
        <w:ind w:left="356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5" w:tplc="F8567C86">
      <w:start w:val="1"/>
      <w:numFmt w:val="lowerRoman"/>
      <w:lvlText w:val="%6"/>
      <w:lvlJc w:val="left"/>
      <w:pPr>
        <w:ind w:left="428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6" w:tplc="7F12718E">
      <w:start w:val="1"/>
      <w:numFmt w:val="decimal"/>
      <w:lvlText w:val="%7"/>
      <w:lvlJc w:val="left"/>
      <w:pPr>
        <w:ind w:left="500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7" w:tplc="F3325D4E">
      <w:start w:val="1"/>
      <w:numFmt w:val="lowerLetter"/>
      <w:lvlText w:val="%8"/>
      <w:lvlJc w:val="left"/>
      <w:pPr>
        <w:ind w:left="572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8" w:tplc="D72C6232">
      <w:start w:val="1"/>
      <w:numFmt w:val="lowerRoman"/>
      <w:lvlText w:val="%9"/>
      <w:lvlJc w:val="left"/>
      <w:pPr>
        <w:ind w:left="644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abstractNum>
  <w:abstractNum w:abstractNumId="2">
    <w:nsid w:val="32610012"/>
    <w:multiLevelType w:val="hybridMultilevel"/>
    <w:tmpl w:val="C950B41C"/>
    <w:lvl w:ilvl="0" w:tplc="1E88B8F4">
      <w:start w:val="1"/>
      <w:numFmt w:val="bullet"/>
      <w:lvlText w:val="-"/>
      <w:lvlJc w:val="left"/>
      <w:pPr>
        <w:ind w:left="70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136A3A4A">
      <w:start w:val="1"/>
      <w:numFmt w:val="bullet"/>
      <w:lvlText w:val="o"/>
      <w:lvlJc w:val="left"/>
      <w:pPr>
        <w:ind w:left="180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745EAE14">
      <w:start w:val="1"/>
      <w:numFmt w:val="bullet"/>
      <w:lvlText w:val="▪"/>
      <w:lvlJc w:val="left"/>
      <w:pPr>
        <w:ind w:left="252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B2282142">
      <w:start w:val="1"/>
      <w:numFmt w:val="bullet"/>
      <w:lvlText w:val="•"/>
      <w:lvlJc w:val="left"/>
      <w:pPr>
        <w:ind w:left="324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338029C6">
      <w:start w:val="1"/>
      <w:numFmt w:val="bullet"/>
      <w:lvlText w:val="o"/>
      <w:lvlJc w:val="left"/>
      <w:pPr>
        <w:ind w:left="396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DD8607B4">
      <w:start w:val="1"/>
      <w:numFmt w:val="bullet"/>
      <w:lvlText w:val="▪"/>
      <w:lvlJc w:val="left"/>
      <w:pPr>
        <w:ind w:left="468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FCD05B36">
      <w:start w:val="1"/>
      <w:numFmt w:val="bullet"/>
      <w:lvlText w:val="•"/>
      <w:lvlJc w:val="left"/>
      <w:pPr>
        <w:ind w:left="540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9072CECA">
      <w:start w:val="1"/>
      <w:numFmt w:val="bullet"/>
      <w:lvlText w:val="o"/>
      <w:lvlJc w:val="left"/>
      <w:pPr>
        <w:ind w:left="612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CFA0E518">
      <w:start w:val="1"/>
      <w:numFmt w:val="bullet"/>
      <w:lvlText w:val="▪"/>
      <w:lvlJc w:val="left"/>
      <w:pPr>
        <w:ind w:left="684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
    <w:nsid w:val="3A407023"/>
    <w:multiLevelType w:val="hybridMultilevel"/>
    <w:tmpl w:val="7EFE5EEA"/>
    <w:lvl w:ilvl="0" w:tplc="D210686E">
      <w:start w:val="1"/>
      <w:numFmt w:val="hebrew1"/>
      <w:lvlText w:val="%1."/>
      <w:lvlJc w:val="left"/>
      <w:pPr>
        <w:ind w:left="70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9FAC35A6">
      <w:start w:val="1"/>
      <w:numFmt w:val="lowerLetter"/>
      <w:lvlText w:val="%2"/>
      <w:lvlJc w:val="left"/>
      <w:pPr>
        <w:ind w:left="144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9BB857FE">
      <w:start w:val="1"/>
      <w:numFmt w:val="lowerRoman"/>
      <w:lvlText w:val="%3"/>
      <w:lvlJc w:val="left"/>
      <w:pPr>
        <w:ind w:left="216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169E0472">
      <w:start w:val="1"/>
      <w:numFmt w:val="decimal"/>
      <w:lvlText w:val="%4"/>
      <w:lvlJc w:val="left"/>
      <w:pPr>
        <w:ind w:left="288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E9367CA2">
      <w:start w:val="1"/>
      <w:numFmt w:val="lowerLetter"/>
      <w:lvlText w:val="%5"/>
      <w:lvlJc w:val="left"/>
      <w:pPr>
        <w:ind w:left="360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D58AA3F0">
      <w:start w:val="1"/>
      <w:numFmt w:val="lowerRoman"/>
      <w:lvlText w:val="%6"/>
      <w:lvlJc w:val="left"/>
      <w:pPr>
        <w:ind w:left="432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B4DCFE3C">
      <w:start w:val="1"/>
      <w:numFmt w:val="decimal"/>
      <w:lvlText w:val="%7"/>
      <w:lvlJc w:val="left"/>
      <w:pPr>
        <w:ind w:left="504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12780BD4">
      <w:start w:val="1"/>
      <w:numFmt w:val="lowerLetter"/>
      <w:lvlText w:val="%8"/>
      <w:lvlJc w:val="left"/>
      <w:pPr>
        <w:ind w:left="576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27FE8826">
      <w:start w:val="1"/>
      <w:numFmt w:val="lowerRoman"/>
      <w:lvlText w:val="%9"/>
      <w:lvlJc w:val="left"/>
      <w:pPr>
        <w:ind w:left="648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4">
    <w:nsid w:val="40A669A6"/>
    <w:multiLevelType w:val="hybridMultilevel"/>
    <w:tmpl w:val="95963F86"/>
    <w:lvl w:ilvl="0" w:tplc="7E78233E">
      <w:start w:val="1"/>
      <w:numFmt w:val="bullet"/>
      <w:lvlText w:val="-"/>
      <w:lvlJc w:val="left"/>
      <w:pPr>
        <w:ind w:left="707"/>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tplc="5880B6C4">
      <w:start w:val="1"/>
      <w:numFmt w:val="bullet"/>
      <w:lvlText w:val="o"/>
      <w:lvlJc w:val="left"/>
      <w:pPr>
        <w:ind w:left="180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2" w:tplc="10FE400E">
      <w:start w:val="1"/>
      <w:numFmt w:val="bullet"/>
      <w:lvlText w:val="▪"/>
      <w:lvlJc w:val="left"/>
      <w:pPr>
        <w:ind w:left="252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3" w:tplc="D554952C">
      <w:start w:val="1"/>
      <w:numFmt w:val="bullet"/>
      <w:lvlText w:val="•"/>
      <w:lvlJc w:val="left"/>
      <w:pPr>
        <w:ind w:left="324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4" w:tplc="5C328718">
      <w:start w:val="1"/>
      <w:numFmt w:val="bullet"/>
      <w:lvlText w:val="o"/>
      <w:lvlJc w:val="left"/>
      <w:pPr>
        <w:ind w:left="396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5" w:tplc="20B6401A">
      <w:start w:val="1"/>
      <w:numFmt w:val="bullet"/>
      <w:lvlText w:val="▪"/>
      <w:lvlJc w:val="left"/>
      <w:pPr>
        <w:ind w:left="468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6" w:tplc="95021C8E">
      <w:start w:val="1"/>
      <w:numFmt w:val="bullet"/>
      <w:lvlText w:val="•"/>
      <w:lvlJc w:val="left"/>
      <w:pPr>
        <w:ind w:left="540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7" w:tplc="D5E8C010">
      <w:start w:val="1"/>
      <w:numFmt w:val="bullet"/>
      <w:lvlText w:val="o"/>
      <w:lvlJc w:val="left"/>
      <w:pPr>
        <w:ind w:left="612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8" w:tplc="C2AAA870">
      <w:start w:val="1"/>
      <w:numFmt w:val="bullet"/>
      <w:lvlText w:val="▪"/>
      <w:lvlJc w:val="left"/>
      <w:pPr>
        <w:ind w:left="684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abstractNum>
  <w:abstractNum w:abstractNumId="5">
    <w:nsid w:val="4BAA6FCD"/>
    <w:multiLevelType w:val="hybridMultilevel"/>
    <w:tmpl w:val="9454F290"/>
    <w:lvl w:ilvl="0" w:tplc="3EBE9102">
      <w:start w:val="1"/>
      <w:numFmt w:val="decimal"/>
      <w:lvlText w:val="%1."/>
      <w:lvlJc w:val="left"/>
      <w:pPr>
        <w:ind w:left="71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8BC21D08">
      <w:start w:val="1"/>
      <w:numFmt w:val="lowerLetter"/>
      <w:lvlText w:val="%2"/>
      <w:lvlJc w:val="left"/>
      <w:pPr>
        <w:ind w:left="14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1A9063D4">
      <w:start w:val="1"/>
      <w:numFmt w:val="lowerRoman"/>
      <w:lvlText w:val="%3"/>
      <w:lvlJc w:val="left"/>
      <w:pPr>
        <w:ind w:left="21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155E20EA">
      <w:start w:val="1"/>
      <w:numFmt w:val="decimal"/>
      <w:lvlText w:val="%4"/>
      <w:lvlJc w:val="left"/>
      <w:pPr>
        <w:ind w:left="28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2AFC54E2">
      <w:start w:val="1"/>
      <w:numFmt w:val="lowerLetter"/>
      <w:lvlText w:val="%5"/>
      <w:lvlJc w:val="left"/>
      <w:pPr>
        <w:ind w:left="36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BC7A0A3E">
      <w:start w:val="1"/>
      <w:numFmt w:val="lowerRoman"/>
      <w:lvlText w:val="%6"/>
      <w:lvlJc w:val="left"/>
      <w:pPr>
        <w:ind w:left="43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6FCA18FE">
      <w:start w:val="1"/>
      <w:numFmt w:val="decimal"/>
      <w:lvlText w:val="%7"/>
      <w:lvlJc w:val="left"/>
      <w:pPr>
        <w:ind w:left="50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30B2AC04">
      <w:start w:val="1"/>
      <w:numFmt w:val="lowerLetter"/>
      <w:lvlText w:val="%8"/>
      <w:lvlJc w:val="left"/>
      <w:pPr>
        <w:ind w:left="57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C5DAD92E">
      <w:start w:val="1"/>
      <w:numFmt w:val="lowerRoman"/>
      <w:lvlText w:val="%9"/>
      <w:lvlJc w:val="left"/>
      <w:pPr>
        <w:ind w:left="64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6">
    <w:nsid w:val="4C947EAE"/>
    <w:multiLevelType w:val="hybridMultilevel"/>
    <w:tmpl w:val="39B2C58C"/>
    <w:lvl w:ilvl="0" w:tplc="213C4E9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DE28DA">
      <w:start w:val="1"/>
      <w:numFmt w:val="bullet"/>
      <w:lvlText w:val="o"/>
      <w:lvlJc w:val="left"/>
      <w:pPr>
        <w:ind w:left="1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5C06C0">
      <w:start w:val="1"/>
      <w:numFmt w:val="bullet"/>
      <w:lvlText w:val="▪"/>
      <w:lvlJc w:val="left"/>
      <w:pPr>
        <w:ind w:left="2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049C52">
      <w:start w:val="1"/>
      <w:numFmt w:val="bullet"/>
      <w:lvlText w:val="•"/>
      <w:lvlJc w:val="left"/>
      <w:pPr>
        <w:ind w:left="2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78BE78">
      <w:start w:val="1"/>
      <w:numFmt w:val="bullet"/>
      <w:lvlText w:val="o"/>
      <w:lvlJc w:val="left"/>
      <w:pPr>
        <w:ind w:left="3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CE91BE">
      <w:start w:val="1"/>
      <w:numFmt w:val="bullet"/>
      <w:lvlText w:val="▪"/>
      <w:lvlJc w:val="left"/>
      <w:pPr>
        <w:ind w:left="4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367A8C">
      <w:start w:val="1"/>
      <w:numFmt w:val="bullet"/>
      <w:lvlText w:val="•"/>
      <w:lvlJc w:val="left"/>
      <w:pPr>
        <w:ind w:left="4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8E1EC2">
      <w:start w:val="1"/>
      <w:numFmt w:val="bullet"/>
      <w:lvlText w:val="o"/>
      <w:lvlJc w:val="left"/>
      <w:pPr>
        <w:ind w:left="57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92907A">
      <w:start w:val="1"/>
      <w:numFmt w:val="bullet"/>
      <w:lvlText w:val="▪"/>
      <w:lvlJc w:val="left"/>
      <w:pPr>
        <w:ind w:left="6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67B71B37"/>
    <w:multiLevelType w:val="hybridMultilevel"/>
    <w:tmpl w:val="8A0A299E"/>
    <w:lvl w:ilvl="0" w:tplc="04B04B66">
      <w:start w:val="1"/>
      <w:numFmt w:val="decimal"/>
      <w:lvlText w:val="%1"/>
      <w:lvlJc w:val="left"/>
      <w:pPr>
        <w:ind w:left="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4A90A">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9E30B0">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2AC77E">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580FEC">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20DAE4">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50445E">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ECA128">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028042">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719E16EE"/>
    <w:multiLevelType w:val="hybridMultilevel"/>
    <w:tmpl w:val="D93A3B16"/>
    <w:lvl w:ilvl="0" w:tplc="44560C5A">
      <w:start w:val="2"/>
      <w:numFmt w:val="decimal"/>
      <w:lvlText w:val="%1."/>
      <w:lvlJc w:val="left"/>
      <w:pPr>
        <w:ind w:left="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AC4EE2">
      <w:start w:val="1"/>
      <w:numFmt w:val="lowerLetter"/>
      <w:lvlText w:val="%2"/>
      <w:lvlJc w:val="left"/>
      <w:pPr>
        <w:ind w:left="1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C69206">
      <w:start w:val="1"/>
      <w:numFmt w:val="lowerRoman"/>
      <w:lvlText w:val="%3"/>
      <w:lvlJc w:val="left"/>
      <w:pPr>
        <w:ind w:left="2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18F3E6">
      <w:start w:val="1"/>
      <w:numFmt w:val="decimal"/>
      <w:lvlText w:val="%4"/>
      <w:lvlJc w:val="left"/>
      <w:pPr>
        <w:ind w:left="2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5A5ED6">
      <w:start w:val="1"/>
      <w:numFmt w:val="lowerLetter"/>
      <w:lvlText w:val="%5"/>
      <w:lvlJc w:val="left"/>
      <w:pPr>
        <w:ind w:left="3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8C4A90">
      <w:start w:val="1"/>
      <w:numFmt w:val="lowerRoman"/>
      <w:lvlText w:val="%6"/>
      <w:lvlJc w:val="left"/>
      <w:pPr>
        <w:ind w:left="4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64B40A">
      <w:start w:val="1"/>
      <w:numFmt w:val="decimal"/>
      <w:lvlText w:val="%7"/>
      <w:lvlJc w:val="left"/>
      <w:pPr>
        <w:ind w:left="4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DE7CB8">
      <w:start w:val="1"/>
      <w:numFmt w:val="lowerLetter"/>
      <w:lvlText w:val="%8"/>
      <w:lvlJc w:val="left"/>
      <w:pPr>
        <w:ind w:left="5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2CD6C2">
      <w:start w:val="1"/>
      <w:numFmt w:val="lowerRoman"/>
      <w:lvlText w:val="%9"/>
      <w:lvlJc w:val="left"/>
      <w:pPr>
        <w:ind w:left="6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8"/>
  </w:num>
  <w:num w:numId="3">
    <w:abstractNumId w:val="1"/>
  </w:num>
  <w:num w:numId="4">
    <w:abstractNumId w:val="6"/>
  </w:num>
  <w:num w:numId="5">
    <w:abstractNumId w:val="0"/>
  </w:num>
  <w:num w:numId="6">
    <w:abstractNumId w:val="4"/>
  </w:num>
  <w:num w:numId="7">
    <w:abstractNumId w:val="2"/>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evenAndOddHeaders/>
  <w:characterSpacingControl w:val="doNotCompress"/>
  <w:footnotePr>
    <w:footnote w:id="-1"/>
    <w:footnote w:id="0"/>
  </w:footnotePr>
  <w:endnotePr>
    <w:endnote w:id="-1"/>
    <w:endnote w:id="0"/>
  </w:endnotePr>
  <w:compat>
    <w:useFELayout/>
  </w:compat>
  <w:rsids>
    <w:rsidRoot w:val="003F31C2"/>
    <w:rsid w:val="003F31C2"/>
    <w:rsid w:val="004C595D"/>
    <w:rsid w:val="007A3523"/>
    <w:rsid w:val="00803914"/>
    <w:rsid w:val="00807139"/>
    <w:rsid w:val="008720C1"/>
    <w:rsid w:val="00892D7D"/>
    <w:rsid w:val="009C5491"/>
    <w:rsid w:val="009D75C9"/>
    <w:rsid w:val="009F1EEC"/>
    <w:rsid w:val="00CB27D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523"/>
    <w:pPr>
      <w:bidi/>
      <w:spacing w:after="10" w:line="250" w:lineRule="auto"/>
      <w:ind w:left="363" w:hanging="363"/>
      <w:jc w:val="both"/>
    </w:pPr>
    <w:rPr>
      <w:rFonts w:ascii="David" w:eastAsia="David" w:hAnsi="David" w:cs="David"/>
      <w:color w:val="000000"/>
      <w:sz w:val="24"/>
    </w:rPr>
  </w:style>
  <w:style w:type="paragraph" w:styleId="1">
    <w:name w:val="heading 1"/>
    <w:next w:val="a"/>
    <w:link w:val="10"/>
    <w:uiPriority w:val="9"/>
    <w:qFormat/>
    <w:rsid w:val="007A3523"/>
    <w:pPr>
      <w:keepNext/>
      <w:keepLines/>
      <w:bidi/>
      <w:spacing w:after="0"/>
      <w:ind w:left="13" w:hanging="10"/>
      <w:jc w:val="center"/>
      <w:outlineLvl w:val="0"/>
    </w:pPr>
    <w:rPr>
      <w:rFonts w:ascii="Times New Roman" w:eastAsia="Times New Roman" w:hAnsi="Times New Roman" w:cs="Times New Roman"/>
      <w:color w:val="2F5496"/>
      <w:sz w:val="32"/>
    </w:rPr>
  </w:style>
  <w:style w:type="paragraph" w:styleId="2">
    <w:name w:val="heading 2"/>
    <w:next w:val="a"/>
    <w:link w:val="20"/>
    <w:uiPriority w:val="9"/>
    <w:unhideWhenUsed/>
    <w:qFormat/>
    <w:rsid w:val="007A3523"/>
    <w:pPr>
      <w:keepNext/>
      <w:keepLines/>
      <w:bidi/>
      <w:spacing w:after="0"/>
      <w:ind w:left="371" w:hanging="10"/>
      <w:outlineLvl w:val="1"/>
    </w:pPr>
    <w:rPr>
      <w:rFonts w:ascii="Times New Roman" w:eastAsia="Times New Roman" w:hAnsi="Times New Roman" w:cs="Times New Roman"/>
      <w:color w:val="000000"/>
      <w:sz w:val="26"/>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7A3523"/>
    <w:rPr>
      <w:rFonts w:ascii="Times New Roman" w:eastAsia="Times New Roman" w:hAnsi="Times New Roman" w:cs="Times New Roman"/>
      <w:color w:val="2F5496"/>
      <w:sz w:val="32"/>
    </w:rPr>
  </w:style>
  <w:style w:type="character" w:customStyle="1" w:styleId="20">
    <w:name w:val="כותרת 2 תו"/>
    <w:link w:val="2"/>
    <w:rsid w:val="007A3523"/>
    <w:rPr>
      <w:rFonts w:ascii="Times New Roman" w:eastAsia="Times New Roman" w:hAnsi="Times New Roman" w:cs="Times New Roman"/>
      <w:color w:val="000000"/>
      <w:sz w:val="26"/>
      <w:u w:val="single" w:color="000000"/>
    </w:rPr>
  </w:style>
  <w:style w:type="table" w:customStyle="1" w:styleId="TableGrid">
    <w:name w:val="TableGrid"/>
    <w:rsid w:val="007A3523"/>
    <w:pPr>
      <w:spacing w:after="0" w:line="240" w:lineRule="auto"/>
    </w:pPr>
    <w:tblPr>
      <w:tblCellMar>
        <w:top w:w="0" w:type="dxa"/>
        <w:left w:w="0" w:type="dxa"/>
        <w:bottom w:w="0" w:type="dxa"/>
        <w:right w:w="0" w:type="dxa"/>
      </w:tblCellMar>
    </w:tblPr>
  </w:style>
  <w:style w:type="paragraph" w:styleId="NormalWeb">
    <w:name w:val="Normal (Web)"/>
    <w:basedOn w:val="a"/>
    <w:uiPriority w:val="99"/>
    <w:semiHidden/>
    <w:unhideWhenUsed/>
    <w:rsid w:val="008720C1"/>
    <w:pPr>
      <w:bidi w:val="0"/>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webSettings.xml><?xml version="1.0" encoding="utf-8"?>
<w:webSettings xmlns:r="http://schemas.openxmlformats.org/officeDocument/2006/relationships" xmlns:w="http://schemas.openxmlformats.org/wordprocessingml/2006/main">
  <w:divs>
    <w:div w:id="396635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394</Words>
  <Characters>1975</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משה וורקו</dc:creator>
  <cp:keywords/>
  <cp:lastModifiedBy>Ruben</cp:lastModifiedBy>
  <cp:revision>7</cp:revision>
  <dcterms:created xsi:type="dcterms:W3CDTF">2021-10-30T19:18:00Z</dcterms:created>
  <dcterms:modified xsi:type="dcterms:W3CDTF">2021-10-30T19:52:00Z</dcterms:modified>
</cp:coreProperties>
</file>